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65F3B0">
      <w:pPr>
        <w:pStyle w:val="4"/>
        <w:spacing w:line="255" w:lineRule="auto"/>
      </w:pPr>
    </w:p>
    <w:p w14:paraId="4F60EA39">
      <w:pPr>
        <w:pStyle w:val="4"/>
        <w:spacing w:line="268" w:lineRule="auto"/>
      </w:pPr>
    </w:p>
    <w:p w14:paraId="5C9D19AC">
      <w:pPr>
        <w:pStyle w:val="4"/>
        <w:spacing w:line="268" w:lineRule="auto"/>
      </w:pPr>
    </w:p>
    <w:p w14:paraId="586C86D5">
      <w:pPr>
        <w:pStyle w:val="4"/>
        <w:spacing w:line="268" w:lineRule="auto"/>
      </w:pPr>
    </w:p>
    <w:p w14:paraId="1B6E2E92">
      <w:pPr>
        <w:pStyle w:val="4"/>
        <w:spacing w:line="269" w:lineRule="auto"/>
      </w:pPr>
    </w:p>
    <w:p w14:paraId="6B5C56E2">
      <w:pPr>
        <w:pStyle w:val="4"/>
        <w:spacing w:line="269" w:lineRule="auto"/>
      </w:pPr>
    </w:p>
    <w:p w14:paraId="6E6C47CE">
      <w:pPr>
        <w:spacing w:before="119" w:line="301" w:lineRule="auto"/>
        <w:ind w:left="0" w:leftChars="0" w:right="-58" w:rightChars="-29" w:firstLine="2106" w:firstLineChars="418"/>
        <w:jc w:val="both"/>
        <w:rPr>
          <w:rFonts w:ascii="宋体" w:hAnsi="宋体" w:eastAsia="宋体" w:cs="宋体"/>
          <w:b/>
          <w:bCs/>
          <w:spacing w:val="11"/>
          <w:sz w:val="48"/>
          <w:szCs w:val="48"/>
        </w:rPr>
      </w:pPr>
      <w:r>
        <w:rPr>
          <w:rFonts w:ascii="宋体" w:hAnsi="宋体" w:eastAsia="宋体" w:cs="宋体"/>
          <w:b/>
          <w:bCs/>
          <w:spacing w:val="11"/>
          <w:sz w:val="48"/>
          <w:szCs w:val="48"/>
        </w:rPr>
        <w:t>HDSS-20</w:t>
      </w:r>
    </w:p>
    <w:p w14:paraId="4FF68227">
      <w:pPr>
        <w:spacing w:before="119" w:line="301" w:lineRule="auto"/>
        <w:ind w:left="0" w:leftChars="0" w:right="-58" w:rightChars="-29" w:firstLine="3998" w:firstLineChars="833"/>
        <w:jc w:val="both"/>
        <w:rPr>
          <w:rFonts w:ascii="宋体" w:hAnsi="宋体" w:eastAsia="宋体" w:cs="宋体"/>
          <w:b/>
          <w:bCs/>
          <w:spacing w:val="11"/>
          <w:sz w:val="40"/>
          <w:szCs w:val="40"/>
        </w:rPr>
      </w:pPr>
      <w:r>
        <w:rPr>
          <w:sz w:val="48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240030</wp:posOffset>
                </wp:positionH>
                <wp:positionV relativeFrom="paragraph">
                  <wp:posOffset>37465</wp:posOffset>
                </wp:positionV>
                <wp:extent cx="5052060" cy="0"/>
                <wp:effectExtent l="0" t="6350" r="0" b="635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374140" y="2454910"/>
                          <a:ext cx="505206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8.9pt;margin-top:2.95pt;height:0pt;width:397.8pt;z-index:251662336;mso-width-relative:page;mso-height-relative:page;" filled="f" stroked="t" coordsize="21600,21600" o:gfxdata="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jb+L+tMAAAAGAQAADwAAAAAAAAABACAAAAAiAAAAZHJzL2Rvd25yZXYueG1sUEsBAhQA&#10;FAAAAAgAh07iQKBW8673AQAAvgMAAA4AAAAAAAAAAQAgAAAAIgEAAGRycy9lMm9Eb2MueG1sUEsF&#10;BgAAAAAGAAYAWQEAAIsFAAAAAA==&#10;">
                <v:fill on="f" focussize="0,0"/>
                <v:stroke weight="1pt" color="#4874CB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 w:eastAsia="宋体" w:cs="宋体"/>
          <w:b/>
          <w:bCs/>
          <w:spacing w:val="11"/>
          <w:sz w:val="48"/>
          <w:szCs w:val="48"/>
        </w:rPr>
        <w:t>路面渗水仪</w:t>
      </w:r>
    </w:p>
    <w:p w14:paraId="6222FD8F">
      <w:pPr>
        <w:spacing w:before="108" w:line="222" w:lineRule="auto"/>
        <w:ind w:left="0" w:leftChars="0" w:firstLine="0" w:firstLineChars="0"/>
        <w:jc w:val="center"/>
        <w:rPr>
          <w:rFonts w:ascii="仿宋" w:hAnsi="仿宋" w:eastAsia="仿宋" w:cs="仿宋"/>
          <w:b/>
          <w:bCs/>
          <w:spacing w:val="23"/>
          <w:sz w:val="33"/>
          <w:szCs w:val="33"/>
        </w:rPr>
      </w:pPr>
    </w:p>
    <w:p w14:paraId="3B9FD622">
      <w:pPr>
        <w:spacing w:before="108" w:line="222" w:lineRule="auto"/>
        <w:ind w:left="0" w:leftChars="0" w:firstLine="0" w:firstLineChars="0"/>
        <w:jc w:val="center"/>
        <w:rPr>
          <w:rFonts w:ascii="仿宋" w:hAnsi="仿宋" w:eastAsia="仿宋" w:cs="仿宋"/>
          <w:b/>
          <w:bCs/>
          <w:spacing w:val="23"/>
          <w:sz w:val="33"/>
          <w:szCs w:val="33"/>
        </w:rPr>
      </w:pPr>
    </w:p>
    <w:p w14:paraId="592444C1">
      <w:pPr>
        <w:spacing w:before="108" w:line="222" w:lineRule="auto"/>
        <w:ind w:left="0" w:leftChars="0" w:firstLine="0" w:firstLineChars="0"/>
        <w:jc w:val="center"/>
        <w:rPr>
          <w:rFonts w:ascii="仿宋" w:hAnsi="仿宋" w:eastAsia="仿宋" w:cs="仿宋"/>
          <w:b/>
          <w:bCs/>
          <w:spacing w:val="23"/>
          <w:sz w:val="33"/>
          <w:szCs w:val="33"/>
        </w:rPr>
      </w:pPr>
    </w:p>
    <w:p w14:paraId="39053C2B">
      <w:pPr>
        <w:spacing w:before="119" w:line="301" w:lineRule="auto"/>
        <w:ind w:left="0" w:leftChars="0" w:right="-58" w:rightChars="-29" w:firstLine="0" w:firstLineChars="0"/>
        <w:jc w:val="center"/>
        <w:rPr>
          <w:rFonts w:ascii="宋体" w:hAnsi="宋体" w:eastAsia="宋体" w:cs="宋体"/>
          <w:b/>
          <w:bCs/>
          <w:spacing w:val="11"/>
          <w:sz w:val="56"/>
          <w:szCs w:val="56"/>
        </w:rPr>
      </w:pPr>
      <w:r>
        <w:rPr>
          <w:rFonts w:ascii="宋体" w:hAnsi="宋体" w:eastAsia="宋体" w:cs="宋体"/>
          <w:b/>
          <w:bCs/>
          <w:spacing w:val="11"/>
          <w:sz w:val="56"/>
          <w:szCs w:val="56"/>
        </w:rPr>
        <w:t>使</w:t>
      </w:r>
    </w:p>
    <w:p w14:paraId="65D4BE9A">
      <w:pPr>
        <w:spacing w:before="119" w:line="301" w:lineRule="auto"/>
        <w:ind w:left="0" w:leftChars="0" w:right="-58" w:rightChars="-29" w:firstLine="0" w:firstLineChars="0"/>
        <w:jc w:val="center"/>
        <w:rPr>
          <w:rFonts w:ascii="宋体" w:hAnsi="宋体" w:eastAsia="宋体" w:cs="宋体"/>
          <w:b/>
          <w:bCs/>
          <w:spacing w:val="11"/>
          <w:sz w:val="56"/>
          <w:szCs w:val="56"/>
        </w:rPr>
      </w:pPr>
      <w:r>
        <w:rPr>
          <w:rFonts w:ascii="宋体" w:hAnsi="宋体" w:eastAsia="宋体" w:cs="宋体"/>
          <w:b/>
          <w:bCs/>
          <w:spacing w:val="11"/>
          <w:sz w:val="56"/>
          <w:szCs w:val="56"/>
        </w:rPr>
        <w:t>用</w:t>
      </w:r>
    </w:p>
    <w:p w14:paraId="6F20E130">
      <w:pPr>
        <w:spacing w:before="119" w:line="301" w:lineRule="auto"/>
        <w:ind w:left="0" w:leftChars="0" w:right="-58" w:rightChars="-29" w:firstLine="0" w:firstLineChars="0"/>
        <w:jc w:val="center"/>
        <w:rPr>
          <w:rFonts w:ascii="宋体" w:hAnsi="宋体" w:eastAsia="宋体" w:cs="宋体"/>
          <w:b/>
          <w:bCs/>
          <w:spacing w:val="11"/>
          <w:sz w:val="56"/>
          <w:szCs w:val="56"/>
        </w:rPr>
      </w:pPr>
      <w:r>
        <w:rPr>
          <w:rFonts w:ascii="宋体" w:hAnsi="宋体" w:eastAsia="宋体" w:cs="宋体"/>
          <w:b/>
          <w:bCs/>
          <w:spacing w:val="11"/>
          <w:sz w:val="56"/>
          <w:szCs w:val="56"/>
        </w:rPr>
        <w:t>说</w:t>
      </w:r>
    </w:p>
    <w:p w14:paraId="78848F23">
      <w:pPr>
        <w:spacing w:before="119" w:line="301" w:lineRule="auto"/>
        <w:ind w:left="0" w:leftChars="0" w:right="-58" w:rightChars="-29" w:firstLine="0" w:firstLineChars="0"/>
        <w:jc w:val="center"/>
        <w:rPr>
          <w:rFonts w:ascii="宋体" w:hAnsi="宋体" w:eastAsia="宋体" w:cs="宋体"/>
          <w:b/>
          <w:bCs/>
          <w:spacing w:val="11"/>
          <w:sz w:val="56"/>
          <w:szCs w:val="56"/>
        </w:rPr>
      </w:pPr>
      <w:r>
        <w:rPr>
          <w:rFonts w:ascii="宋体" w:hAnsi="宋体" w:eastAsia="宋体" w:cs="宋体"/>
          <w:b/>
          <w:bCs/>
          <w:spacing w:val="11"/>
          <w:sz w:val="56"/>
          <w:szCs w:val="56"/>
        </w:rPr>
        <w:t>明</w:t>
      </w:r>
    </w:p>
    <w:p w14:paraId="00B53D6F">
      <w:pPr>
        <w:spacing w:before="119" w:line="301" w:lineRule="auto"/>
        <w:ind w:left="0" w:leftChars="0" w:right="-58" w:rightChars="-29" w:firstLine="0" w:firstLineChars="0"/>
        <w:jc w:val="center"/>
        <w:rPr>
          <w:rFonts w:ascii="宋体" w:hAnsi="宋体" w:eastAsia="宋体" w:cs="宋体"/>
          <w:b/>
          <w:bCs/>
          <w:spacing w:val="11"/>
          <w:sz w:val="56"/>
          <w:szCs w:val="56"/>
        </w:rPr>
      </w:pPr>
      <w:r>
        <w:rPr>
          <w:rFonts w:ascii="宋体" w:hAnsi="宋体" w:eastAsia="宋体" w:cs="宋体"/>
          <w:b/>
          <w:bCs/>
          <w:spacing w:val="11"/>
          <w:sz w:val="56"/>
          <w:szCs w:val="56"/>
        </w:rPr>
        <w:t>书</w:t>
      </w:r>
    </w:p>
    <w:p w14:paraId="55BBB528">
      <w:pPr>
        <w:pStyle w:val="4"/>
        <w:spacing w:line="242" w:lineRule="auto"/>
        <w:rPr>
          <w:sz w:val="24"/>
          <w:szCs w:val="24"/>
        </w:rPr>
      </w:pPr>
    </w:p>
    <w:p w14:paraId="6889042E">
      <w:pPr>
        <w:pStyle w:val="4"/>
        <w:spacing w:line="242" w:lineRule="auto"/>
      </w:pPr>
    </w:p>
    <w:p w14:paraId="58FD24C3">
      <w:pPr>
        <w:pStyle w:val="4"/>
        <w:spacing w:line="242" w:lineRule="auto"/>
      </w:pPr>
    </w:p>
    <w:p w14:paraId="0B0BC55A">
      <w:pPr>
        <w:pStyle w:val="4"/>
        <w:spacing w:line="242" w:lineRule="auto"/>
      </w:pPr>
    </w:p>
    <w:p w14:paraId="35929BA0">
      <w:pPr>
        <w:spacing w:before="113" w:line="219" w:lineRule="auto"/>
        <w:ind w:left="0" w:leftChars="0" w:firstLine="0" w:firstLineChars="0"/>
        <w:outlineLvl w:val="0"/>
        <w:rPr>
          <w:rFonts w:ascii="宋体" w:hAnsi="宋体" w:eastAsia="宋体" w:cs="宋体"/>
          <w:b/>
          <w:bCs/>
          <w:spacing w:val="-7"/>
          <w:sz w:val="24"/>
          <w:szCs w:val="24"/>
        </w:rPr>
      </w:pPr>
    </w:p>
    <w:p w14:paraId="3FC2A3A8">
      <w:pPr>
        <w:spacing w:before="113" w:line="219" w:lineRule="auto"/>
        <w:ind w:left="0" w:leftChars="0" w:firstLine="0" w:firstLineChars="0"/>
        <w:outlineLvl w:val="0"/>
        <w:rPr>
          <w:rFonts w:ascii="宋体" w:hAnsi="宋体" w:eastAsia="宋体" w:cs="宋体"/>
          <w:b/>
          <w:bCs/>
          <w:spacing w:val="-7"/>
          <w:sz w:val="24"/>
          <w:szCs w:val="24"/>
        </w:rPr>
      </w:pPr>
    </w:p>
    <w:p w14:paraId="4C6683B0">
      <w:pPr>
        <w:spacing w:before="113" w:line="219" w:lineRule="auto"/>
        <w:ind w:left="0" w:leftChars="0" w:firstLine="0" w:firstLineChars="0"/>
        <w:outlineLvl w:val="0"/>
        <w:rPr>
          <w:rFonts w:ascii="宋体" w:hAnsi="宋体" w:eastAsia="宋体" w:cs="宋体"/>
          <w:b/>
          <w:bCs/>
          <w:spacing w:val="-7"/>
          <w:sz w:val="24"/>
          <w:szCs w:val="24"/>
        </w:rPr>
      </w:pPr>
    </w:p>
    <w:p w14:paraId="6B9F52C5">
      <w:pPr>
        <w:spacing w:before="113" w:line="219" w:lineRule="auto"/>
        <w:ind w:left="0" w:leftChars="0" w:firstLine="0" w:firstLineChars="0"/>
        <w:outlineLvl w:val="0"/>
        <w:rPr>
          <w:rFonts w:ascii="宋体" w:hAnsi="宋体" w:eastAsia="宋体" w:cs="宋体"/>
          <w:b/>
          <w:bCs/>
          <w:spacing w:val="-7"/>
          <w:sz w:val="24"/>
          <w:szCs w:val="24"/>
        </w:rPr>
      </w:pPr>
    </w:p>
    <w:p w14:paraId="512A7ECF">
      <w:pPr>
        <w:spacing w:before="113" w:line="219" w:lineRule="auto"/>
        <w:ind w:left="0" w:leftChars="0" w:firstLine="0" w:firstLineChars="0"/>
        <w:outlineLvl w:val="0"/>
        <w:rPr>
          <w:rFonts w:ascii="宋体" w:hAnsi="宋体" w:eastAsia="宋体" w:cs="宋体"/>
          <w:b/>
          <w:bCs/>
          <w:spacing w:val="-7"/>
          <w:sz w:val="24"/>
          <w:szCs w:val="24"/>
        </w:rPr>
      </w:pPr>
    </w:p>
    <w:p w14:paraId="0DB6DA3F">
      <w:pPr>
        <w:spacing w:before="113" w:line="219" w:lineRule="auto"/>
        <w:ind w:left="0" w:leftChars="0" w:firstLine="0" w:firstLineChars="0"/>
        <w:outlineLvl w:val="0"/>
        <w:rPr>
          <w:rFonts w:ascii="宋体" w:hAnsi="宋体" w:eastAsia="宋体" w:cs="宋体"/>
          <w:b/>
          <w:bCs/>
          <w:spacing w:val="-7"/>
          <w:sz w:val="24"/>
          <w:szCs w:val="24"/>
        </w:rPr>
      </w:pPr>
    </w:p>
    <w:p w14:paraId="6C9C4EA7">
      <w:pPr>
        <w:spacing w:before="113" w:line="219" w:lineRule="auto"/>
        <w:ind w:left="0" w:leftChars="0" w:firstLine="0" w:firstLineChars="0"/>
        <w:outlineLvl w:val="0"/>
        <w:rPr>
          <w:rFonts w:ascii="宋体" w:hAnsi="宋体" w:eastAsia="宋体" w:cs="宋体"/>
          <w:b/>
          <w:bCs/>
          <w:spacing w:val="-7"/>
          <w:sz w:val="24"/>
          <w:szCs w:val="24"/>
        </w:rPr>
      </w:pPr>
    </w:p>
    <w:p w14:paraId="57DBB813">
      <w:pPr>
        <w:spacing w:before="113" w:line="219" w:lineRule="auto"/>
        <w:ind w:left="0" w:leftChars="0" w:firstLine="0" w:firstLineChars="0"/>
        <w:outlineLvl w:val="0"/>
        <w:rPr>
          <w:rFonts w:ascii="宋体" w:hAnsi="宋体" w:eastAsia="宋体" w:cs="宋体"/>
          <w:b/>
          <w:bCs/>
          <w:spacing w:val="-7"/>
          <w:sz w:val="24"/>
          <w:szCs w:val="24"/>
        </w:rPr>
      </w:pPr>
    </w:p>
    <w:p w14:paraId="1624A2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13" w:line="480" w:lineRule="auto"/>
        <w:ind w:left="0" w:leftChars="0" w:firstLine="0" w:firstLineChars="0"/>
        <w:textAlignment w:val="auto"/>
        <w:outlineLvl w:val="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spacing w:val="-7"/>
          <w:sz w:val="24"/>
          <w:szCs w:val="24"/>
        </w:rPr>
        <w:t>一、概述</w:t>
      </w:r>
    </w:p>
    <w:p w14:paraId="4298A5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19" w:line="480" w:lineRule="auto"/>
        <w:ind w:left="0" w:leftChars="0" w:right="-58" w:rightChars="-29" w:firstLine="0" w:firstLineChars="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Times New Roman" w:hAnsi="Times New Roman" w:eastAsia="Times New Roman" w:cs="Times New Roman"/>
          <w:spacing w:val="-9"/>
          <w:sz w:val="24"/>
          <w:szCs w:val="24"/>
        </w:rPr>
        <w:t>HDSS-20</w:t>
      </w:r>
      <w:r>
        <w:rPr>
          <w:rFonts w:ascii="宋体" w:hAnsi="宋体" w:eastAsia="宋体" w:cs="宋体"/>
          <w:spacing w:val="-9"/>
          <w:sz w:val="24"/>
          <w:szCs w:val="24"/>
        </w:rPr>
        <w:t>型路面渗水仪，为2020年实施的新试</w:t>
      </w:r>
      <w:r>
        <w:rPr>
          <w:rFonts w:ascii="宋体" w:hAnsi="宋体" w:eastAsia="宋体" w:cs="宋体"/>
          <w:spacing w:val="-19"/>
          <w:sz w:val="24"/>
          <w:szCs w:val="24"/>
        </w:rPr>
        <w:t>验规程检测仪器。是华达公司双专利产品，</w:t>
      </w:r>
      <w:r>
        <w:rPr>
          <w:rFonts w:ascii="宋体" w:hAnsi="宋体" w:eastAsia="宋体" w:cs="宋体"/>
          <w:spacing w:val="-20"/>
          <w:sz w:val="24"/>
          <w:szCs w:val="24"/>
        </w:rPr>
        <w:t>专利号：</w:t>
      </w:r>
      <w:r>
        <w:rPr>
          <w:rFonts w:ascii="宋体" w:hAnsi="宋体" w:eastAsia="宋体" w:cs="宋体"/>
          <w:spacing w:val="-1"/>
          <w:sz w:val="24"/>
          <w:szCs w:val="24"/>
        </w:rPr>
        <w:t>2018212563415和2020206049826</w:t>
      </w:r>
    </w:p>
    <w:p w14:paraId="13CC90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" w:line="480" w:lineRule="auto"/>
        <w:ind w:left="0" w:leftChars="0" w:right="-58" w:rightChars="-29" w:firstLine="0" w:firstLineChars="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3"/>
          <w:sz w:val="24"/>
          <w:szCs w:val="24"/>
        </w:rPr>
        <w:t>本产品加工精细，测试精度高，使用更方便。</w:t>
      </w:r>
      <w:r>
        <w:rPr>
          <w:rFonts w:ascii="宋体" w:hAnsi="宋体" w:eastAsia="宋体" w:cs="宋体"/>
          <w:spacing w:val="-2"/>
          <w:sz w:val="24"/>
          <w:szCs w:val="24"/>
        </w:rPr>
        <w:t>适用于测定沥青混合料路面及碾压成型的沥青混</w:t>
      </w:r>
      <w:r>
        <w:rPr>
          <w:rFonts w:ascii="宋体" w:hAnsi="宋体" w:eastAsia="宋体" w:cs="宋体"/>
          <w:spacing w:val="-13"/>
          <w:sz w:val="24"/>
          <w:szCs w:val="24"/>
        </w:rPr>
        <w:t>合料试件的渗水系数，以检验路面的渗水性能及沥</w:t>
      </w:r>
      <w:r>
        <w:rPr>
          <w:rFonts w:ascii="宋体" w:hAnsi="宋体" w:eastAsia="宋体" w:cs="宋体"/>
          <w:spacing w:val="-14"/>
          <w:sz w:val="24"/>
          <w:szCs w:val="24"/>
        </w:rPr>
        <w:t>青混合料的配合比设计。</w:t>
      </w:r>
    </w:p>
    <w:p w14:paraId="594E22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3" w:line="480" w:lineRule="auto"/>
        <w:ind w:left="0" w:leftChars="0" w:right="-58" w:rightChars="-29" w:firstLine="0" w:firstLineChars="0"/>
        <w:textAlignment w:val="auto"/>
        <w:outlineLvl w:val="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sz w:val="24"/>
          <w:szCs w:val="24"/>
        </w:rPr>
        <w:t>二、仪器组成(见结构示意图)</w:t>
      </w:r>
    </w:p>
    <w:p w14:paraId="32BF6A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7" w:line="480" w:lineRule="auto"/>
        <w:ind w:left="0" w:leftChars="0" w:right="-58" w:rightChars="-29" w:firstLine="0" w:firstLineChars="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4"/>
          <w:sz w:val="24"/>
          <w:szCs w:val="24"/>
        </w:rPr>
        <w:t>渗水仪主要有以下几部份组成：</w:t>
      </w:r>
    </w:p>
    <w:p w14:paraId="5892E9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6" w:line="480" w:lineRule="auto"/>
        <w:ind w:left="0" w:leftChars="0" w:right="-58" w:rightChars="-29" w:firstLine="0" w:firstLineChars="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7"/>
          <w:sz w:val="24"/>
          <w:szCs w:val="24"/>
        </w:rPr>
        <w:t>1、量筒有机玻璃制成，装于仪器上部，容积</w:t>
      </w:r>
      <w:r>
        <w:rPr>
          <w:rFonts w:ascii="Times New Roman" w:hAnsi="Times New Roman" w:eastAsia="Times New Roman" w:cs="Times New Roman"/>
          <w:spacing w:val="6"/>
          <w:sz w:val="24"/>
          <w:szCs w:val="24"/>
        </w:rPr>
        <w:t>600</w:t>
      </w:r>
      <w:r>
        <w:rPr>
          <w:rFonts w:ascii="Times New Roman" w:hAnsi="Times New Roman" w:eastAsia="Times New Roman" w:cs="Times New Roman"/>
          <w:sz w:val="24"/>
          <w:szCs w:val="24"/>
        </w:rPr>
        <w:t>ml</w:t>
      </w:r>
      <w:r>
        <w:rPr>
          <w:rFonts w:ascii="Times New Roman" w:hAnsi="Times New Roman" w:eastAsia="Times New Roman" w:cs="Times New Roman"/>
          <w:spacing w:val="6"/>
          <w:sz w:val="24"/>
          <w:szCs w:val="24"/>
        </w:rPr>
        <w:t>,</w:t>
      </w:r>
      <w:r>
        <w:rPr>
          <w:rFonts w:ascii="宋体" w:hAnsi="宋体" w:eastAsia="宋体" w:cs="宋体"/>
          <w:spacing w:val="6"/>
          <w:sz w:val="24"/>
          <w:szCs w:val="24"/>
        </w:rPr>
        <w:t>上面标有刻度，分辨率为2</w:t>
      </w:r>
      <w:r>
        <w:rPr>
          <w:rFonts w:ascii="Times New Roman" w:hAnsi="Times New Roman" w:eastAsia="Times New Roman" w:cs="Times New Roman"/>
          <w:sz w:val="24"/>
          <w:szCs w:val="24"/>
        </w:rPr>
        <w:t>ml</w:t>
      </w:r>
      <w:r>
        <w:rPr>
          <w:rFonts w:ascii="Times New Roman" w:hAnsi="Times New Roman" w:eastAsia="Times New Roman" w:cs="Times New Roman"/>
          <w:spacing w:val="6"/>
          <w:sz w:val="24"/>
          <w:szCs w:val="24"/>
        </w:rPr>
        <w:t>,</w:t>
      </w:r>
      <w:r>
        <w:rPr>
          <w:rFonts w:ascii="宋体" w:hAnsi="宋体" w:eastAsia="宋体" w:cs="宋体"/>
          <w:spacing w:val="6"/>
          <w:sz w:val="24"/>
          <w:szCs w:val="24"/>
        </w:rPr>
        <w:t>在100</w:t>
      </w:r>
      <w:r>
        <w:rPr>
          <w:rFonts w:ascii="Times New Roman" w:hAnsi="Times New Roman" w:eastAsia="Times New Roman" w:cs="Times New Roman"/>
          <w:sz w:val="24"/>
          <w:szCs w:val="24"/>
        </w:rPr>
        <w:t>ml</w:t>
      </w:r>
      <w:r>
        <w:rPr>
          <w:rFonts w:ascii="宋体" w:hAnsi="宋体" w:eastAsia="宋体" w:cs="宋体"/>
          <w:spacing w:val="-3"/>
          <w:sz w:val="24"/>
          <w:szCs w:val="24"/>
        </w:rPr>
        <w:t>及500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>ml</w:t>
      </w:r>
      <w:r>
        <w:rPr>
          <w:rFonts w:ascii="宋体" w:hAnsi="宋体" w:eastAsia="宋体" w:cs="宋体"/>
          <w:spacing w:val="-3"/>
          <w:sz w:val="24"/>
          <w:szCs w:val="24"/>
        </w:rPr>
        <w:t>处有粗标线。</w:t>
      </w:r>
    </w:p>
    <w:p w14:paraId="2E2002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3" w:line="480" w:lineRule="auto"/>
        <w:ind w:left="0" w:leftChars="0" w:right="-58" w:rightChars="-29" w:firstLine="0" w:firstLineChars="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7"/>
          <w:sz w:val="24"/>
          <w:szCs w:val="24"/>
        </w:rPr>
        <w:t>2、螺纹连接和接管连接量筒与底座，中间装</w:t>
      </w:r>
      <w:r>
        <w:rPr>
          <w:rFonts w:ascii="宋体" w:hAnsi="宋体" w:eastAsia="宋体" w:cs="宋体"/>
          <w:spacing w:val="-14"/>
          <w:sz w:val="24"/>
          <w:szCs w:val="24"/>
        </w:rPr>
        <w:t>有不锈钢阀门，用于试验的开停。</w:t>
      </w:r>
    </w:p>
    <w:p w14:paraId="035D44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1" w:line="480" w:lineRule="auto"/>
        <w:ind w:left="0" w:leftChars="0" w:right="-58" w:rightChars="-29" w:firstLine="0" w:firstLineChars="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7"/>
          <w:sz w:val="24"/>
          <w:szCs w:val="24"/>
        </w:rPr>
        <w:t>3、顶板和把手顶板上装有把手，便于搬动仪</w:t>
      </w:r>
      <w:r>
        <w:rPr>
          <w:rFonts w:ascii="宋体" w:hAnsi="宋体" w:eastAsia="宋体" w:cs="宋体"/>
          <w:spacing w:val="-18"/>
          <w:sz w:val="24"/>
          <w:szCs w:val="24"/>
        </w:rPr>
        <w:t>器时的结构，切勿手抓量筒部位以防量筒损坏。</w:t>
      </w:r>
    </w:p>
    <w:p w14:paraId="11964B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6" w:line="480" w:lineRule="auto"/>
        <w:ind w:left="0" w:leftChars="0" w:right="-58" w:rightChars="-29" w:firstLine="0" w:firstLineChars="0"/>
        <w:textAlignment w:val="auto"/>
        <w:rPr>
          <w:rFonts w:ascii="宋体" w:hAnsi="宋体" w:eastAsia="宋体" w:cs="宋体"/>
          <w:spacing w:val="-7"/>
          <w:sz w:val="24"/>
          <w:szCs w:val="24"/>
        </w:rPr>
      </w:pPr>
      <w:r>
        <w:rPr>
          <w:rFonts w:ascii="宋体" w:hAnsi="宋体" w:eastAsia="宋体" w:cs="宋体"/>
          <w:spacing w:val="-7"/>
          <w:sz w:val="24"/>
          <w:szCs w:val="24"/>
        </w:rPr>
        <w:t>4、排气阀试验前排出渗水仪底部的空气，保证试验正常进行。</w:t>
      </w:r>
    </w:p>
    <w:p w14:paraId="414E62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6" w:line="480" w:lineRule="auto"/>
        <w:ind w:left="0" w:leftChars="0" w:right="-58" w:rightChars="-29" w:firstLine="0" w:firstLineChars="0"/>
        <w:textAlignment w:val="auto"/>
        <w:rPr>
          <w:rFonts w:ascii="宋体" w:hAnsi="宋体" w:eastAsia="宋体" w:cs="宋体"/>
          <w:spacing w:val="-7"/>
          <w:sz w:val="24"/>
          <w:szCs w:val="24"/>
        </w:rPr>
      </w:pPr>
      <w:r>
        <w:rPr>
          <w:rFonts w:ascii="宋体" w:hAnsi="宋体" w:eastAsia="宋体" w:cs="宋体"/>
          <w:spacing w:val="-7"/>
          <w:sz w:val="24"/>
          <w:szCs w:val="24"/>
        </w:rPr>
        <w:t>5、立柱支架由立柱连接顶板和底座。</w:t>
      </w:r>
    </w:p>
    <w:p w14:paraId="029A73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6" w:line="480" w:lineRule="auto"/>
        <w:ind w:left="0" w:leftChars="0" w:right="-58" w:rightChars="-29" w:firstLine="0" w:firstLineChars="0"/>
        <w:textAlignment w:val="auto"/>
        <w:rPr>
          <w:rFonts w:ascii="宋体" w:hAnsi="宋体" w:eastAsia="宋体" w:cs="宋体"/>
          <w:spacing w:val="-7"/>
          <w:sz w:val="24"/>
          <w:szCs w:val="24"/>
        </w:rPr>
      </w:pPr>
      <w:r>
        <w:rPr>
          <w:rFonts w:ascii="宋体" w:hAnsi="宋体" w:eastAsia="宋体" w:cs="宋体"/>
          <w:spacing w:val="-7"/>
          <w:sz w:val="24"/>
          <w:szCs w:val="24"/>
        </w:rPr>
        <w:t>6、压重钢圈2只，内径160mm,为方便操作沿中心线切开成四块半圆，每块质量约2.5kg。</w:t>
      </w:r>
    </w:p>
    <w:p w14:paraId="28A5DB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6" w:line="480" w:lineRule="auto"/>
        <w:ind w:left="0" w:leftChars="0" w:right="-58" w:rightChars="-29" w:firstLine="0" w:firstLineChars="0"/>
        <w:textAlignment w:val="auto"/>
        <w:rPr>
          <w:rFonts w:ascii="宋体" w:hAnsi="宋体" w:eastAsia="宋体" w:cs="宋体"/>
          <w:spacing w:val="-7"/>
          <w:sz w:val="24"/>
          <w:szCs w:val="24"/>
        </w:rPr>
      </w:pPr>
      <w:r>
        <w:rPr>
          <w:rFonts w:ascii="宋体" w:hAnsi="宋体" w:eastAsia="宋体" w:cs="宋体"/>
          <w:spacing w:val="-7"/>
          <w:sz w:val="24"/>
          <w:szCs w:val="24"/>
        </w:rPr>
        <w:t>7、底座下方开口内径Φ150mm,外径φ220mm。</w:t>
      </w:r>
    </w:p>
    <w:p w14:paraId="5BF39E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6" w:line="480" w:lineRule="auto"/>
        <w:ind w:left="0" w:leftChars="0" w:right="-58" w:rightChars="-29" w:firstLine="0" w:firstLineChars="0"/>
        <w:textAlignment w:val="auto"/>
        <w:rPr>
          <w:rFonts w:ascii="宋体" w:hAnsi="宋体" w:eastAsia="宋体" w:cs="宋体"/>
          <w:spacing w:val="-7"/>
          <w:sz w:val="24"/>
          <w:szCs w:val="24"/>
        </w:rPr>
      </w:pPr>
      <w:r>
        <w:rPr>
          <w:rFonts w:ascii="宋体" w:hAnsi="宋体" w:eastAsia="宋体" w:cs="宋体"/>
          <w:spacing w:val="-7"/>
          <w:sz w:val="24"/>
          <w:szCs w:val="24"/>
        </w:rPr>
        <w:t>8、套环(必备配件)用于保证渗水面积，下口直径Φ150mm。</w:t>
      </w:r>
    </w:p>
    <w:p w14:paraId="43F30E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6" w:line="480" w:lineRule="auto"/>
        <w:ind w:left="0" w:leftChars="0" w:right="-58" w:rightChars="-29" w:firstLine="0" w:firstLineChars="0"/>
        <w:textAlignment w:val="auto"/>
        <w:rPr>
          <w:rFonts w:ascii="宋体" w:hAnsi="宋体" w:eastAsia="宋体" w:cs="宋体"/>
          <w:spacing w:val="-7"/>
          <w:sz w:val="24"/>
          <w:szCs w:val="24"/>
        </w:rPr>
      </w:pPr>
      <w:r>
        <w:rPr>
          <w:rFonts w:ascii="宋体" w:hAnsi="宋体" w:eastAsia="宋体" w:cs="宋体"/>
          <w:spacing w:val="-7"/>
          <w:sz w:val="24"/>
          <w:szCs w:val="24"/>
        </w:rPr>
        <w:t>9、标记环(必备配件)确定涂抹密封材料范围。</w:t>
      </w:r>
    </w:p>
    <w:p w14:paraId="27B01E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6" w:line="480" w:lineRule="auto"/>
        <w:ind w:left="0" w:leftChars="0" w:right="-58" w:rightChars="-29" w:firstLine="0" w:firstLineChars="0"/>
        <w:jc w:val="center"/>
        <w:textAlignment w:val="auto"/>
        <w:rPr>
          <w:rFonts w:ascii="宋体" w:hAnsi="宋体" w:eastAsia="宋体" w:cs="宋体"/>
          <w:spacing w:val="-7"/>
          <w:sz w:val="24"/>
          <w:szCs w:val="24"/>
        </w:rPr>
      </w:pPr>
      <w:r>
        <w:rPr>
          <w:position w:val="-73"/>
        </w:rPr>
        <w:drawing>
          <wp:inline distT="0" distB="0" distL="0" distR="0">
            <wp:extent cx="1778000" cy="2329815"/>
            <wp:effectExtent l="0" t="0" r="5080" b="1905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78025" cy="2330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2B7B9C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 w:eastAsia="宋体"/>
          <w:lang w:eastAsia="zh-CN"/>
        </w:rPr>
      </w:pPr>
      <w:r>
        <w:rPr>
          <w:rFonts w:ascii="宋体" w:hAnsi="宋体" w:eastAsia="宋体" w:cs="宋体"/>
          <w:spacing w:val="-5"/>
          <w:sz w:val="24"/>
          <w:szCs w:val="24"/>
        </w:rPr>
        <w:t>渗水仪结构图(单位：mm)</w:t>
      </w:r>
    </w:p>
    <w:p w14:paraId="330808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55" w:line="480" w:lineRule="auto"/>
        <w:ind w:left="2336" w:right="1751" w:firstLine="19"/>
        <w:textAlignment w:val="auto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1"/>
          <w:sz w:val="17"/>
          <w:szCs w:val="17"/>
        </w:rPr>
        <w:t>1-盛水量筒；2-螺纹连接；3-顶板；4-阀；5-立柱支架；6-压重钢圈；7-底座；8-密封材料；9-排气孔；10-套环。</w:t>
      </w:r>
    </w:p>
    <w:p w14:paraId="66B06B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3" w:line="480" w:lineRule="auto"/>
        <w:ind w:left="0" w:leftChars="0" w:right="-58" w:rightChars="-29" w:firstLine="0" w:firstLineChars="0"/>
        <w:textAlignment w:val="auto"/>
        <w:outlineLvl w:val="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ascii="宋体" w:hAnsi="宋体" w:eastAsia="宋体" w:cs="宋体"/>
          <w:b/>
          <w:bCs/>
          <w:sz w:val="24"/>
          <w:szCs w:val="24"/>
        </w:rPr>
        <w:t>三、准备事项</w:t>
      </w:r>
    </w:p>
    <w:p w14:paraId="154D78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6" w:line="480" w:lineRule="auto"/>
        <w:ind w:left="0" w:leftChars="0" w:right="-58" w:rightChars="-29" w:firstLine="0" w:firstLineChars="0"/>
        <w:textAlignment w:val="auto"/>
        <w:rPr>
          <w:rFonts w:ascii="宋体" w:hAnsi="宋体" w:eastAsia="宋体" w:cs="宋体"/>
          <w:spacing w:val="-7"/>
          <w:sz w:val="24"/>
          <w:szCs w:val="24"/>
        </w:rPr>
      </w:pPr>
      <w:r>
        <w:rPr>
          <w:rFonts w:ascii="宋体" w:hAnsi="宋体" w:eastAsia="宋体" w:cs="宋体"/>
          <w:spacing w:val="-7"/>
          <w:sz w:val="24"/>
          <w:szCs w:val="24"/>
        </w:rPr>
        <w:t>备好水桶、刮刀、漏斗、红墨水、粉笔、扫帚、秒表、漏斗、密封材料(玻璃腻子或橡皮泥等)。</w:t>
      </w:r>
    </w:p>
    <w:p w14:paraId="5CF053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6" w:line="480" w:lineRule="auto"/>
        <w:ind w:left="0" w:leftChars="0" w:right="-58" w:rightChars="-29" w:firstLine="0" w:firstLineChars="0"/>
        <w:textAlignment w:val="auto"/>
        <w:rPr>
          <w:rFonts w:ascii="宋体" w:hAnsi="宋体" w:eastAsia="宋体" w:cs="宋体"/>
          <w:spacing w:val="-7"/>
          <w:sz w:val="24"/>
          <w:szCs w:val="24"/>
        </w:rPr>
      </w:pPr>
      <w:r>
        <w:rPr>
          <w:rFonts w:ascii="宋体" w:hAnsi="宋体" w:eastAsia="宋体" w:cs="宋体"/>
          <w:spacing w:val="-7"/>
          <w:sz w:val="24"/>
          <w:szCs w:val="24"/>
        </w:rPr>
        <w:t>1、按照沥青混合料试件成型法(轮辗法)相关规定制作沥青混合料试件，试件尺寸为30cm*30cm*5cm,脱模后揭去成型试件时垫在表面的纸，或在测试路面上选好测试点。</w:t>
      </w:r>
    </w:p>
    <w:p w14:paraId="60ED77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6" w:line="480" w:lineRule="auto"/>
        <w:ind w:left="0" w:leftChars="0" w:right="-58" w:rightChars="-29" w:firstLine="0" w:firstLineChars="0"/>
        <w:textAlignment w:val="auto"/>
        <w:rPr>
          <w:rFonts w:ascii="宋体" w:hAnsi="宋体" w:eastAsia="宋体" w:cs="宋体"/>
          <w:spacing w:val="-7"/>
          <w:sz w:val="24"/>
          <w:szCs w:val="24"/>
        </w:rPr>
      </w:pPr>
      <w:r>
        <w:rPr>
          <w:rFonts w:ascii="宋体" w:hAnsi="宋体" w:eastAsia="宋体" w:cs="宋体"/>
          <w:spacing w:val="-7"/>
          <w:sz w:val="24"/>
          <w:szCs w:val="24"/>
        </w:rPr>
        <w:t>2、盛有洁净水的水桶内滴入几点红墨水，使</w:t>
      </w:r>
    </w:p>
    <w:p w14:paraId="299F74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6" w:line="480" w:lineRule="auto"/>
        <w:ind w:left="0" w:leftChars="0" w:right="-58" w:rightChars="-29" w:firstLine="0" w:firstLineChars="0"/>
        <w:textAlignment w:val="auto"/>
        <w:rPr>
          <w:rFonts w:ascii="宋体" w:hAnsi="宋体" w:eastAsia="宋体" w:cs="宋体"/>
          <w:spacing w:val="-7"/>
          <w:sz w:val="24"/>
          <w:szCs w:val="24"/>
        </w:rPr>
      </w:pPr>
      <w:r>
        <w:rPr>
          <w:rFonts w:ascii="宋体" w:hAnsi="宋体" w:eastAsia="宋体" w:cs="宋体"/>
          <w:spacing w:val="-7"/>
          <w:sz w:val="24"/>
          <w:szCs w:val="24"/>
        </w:rPr>
        <w:t>水成淡红色方便读数。</w:t>
      </w:r>
    </w:p>
    <w:p w14:paraId="5BE37E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3" w:line="480" w:lineRule="auto"/>
        <w:ind w:left="0" w:leftChars="0" w:right="-58" w:rightChars="-29" w:firstLine="0" w:firstLineChars="0"/>
        <w:textAlignment w:val="auto"/>
        <w:outlineLvl w:val="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ascii="宋体" w:hAnsi="宋体" w:eastAsia="宋体" w:cs="宋体"/>
          <w:b/>
          <w:bCs/>
          <w:sz w:val="24"/>
          <w:szCs w:val="24"/>
        </w:rPr>
        <w:t>四、试验步骤</w:t>
      </w:r>
    </w:p>
    <w:p w14:paraId="1B31EB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6" w:line="480" w:lineRule="auto"/>
        <w:ind w:left="0" w:leftChars="0" w:right="-58" w:rightChars="-29" w:firstLine="0" w:firstLineChars="0"/>
        <w:textAlignment w:val="auto"/>
        <w:rPr>
          <w:rFonts w:ascii="宋体" w:hAnsi="宋体" w:eastAsia="宋体" w:cs="宋体"/>
          <w:spacing w:val="-7"/>
          <w:sz w:val="24"/>
          <w:szCs w:val="24"/>
        </w:rPr>
      </w:pPr>
      <w:r>
        <w:rPr>
          <w:rFonts w:ascii="宋体" w:hAnsi="宋体" w:eastAsia="宋体" w:cs="宋体"/>
          <w:spacing w:val="-7"/>
          <w:sz w:val="24"/>
          <w:szCs w:val="24"/>
        </w:rPr>
        <w:t>1、将试件表面或测试路面清扫干净。</w:t>
      </w:r>
    </w:p>
    <w:p w14:paraId="149594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6" w:line="480" w:lineRule="auto"/>
        <w:ind w:left="0" w:leftChars="0" w:right="-58" w:rightChars="-29" w:firstLine="0" w:firstLineChars="0"/>
        <w:textAlignment w:val="auto"/>
        <w:rPr>
          <w:rFonts w:ascii="宋体" w:hAnsi="宋体" w:eastAsia="宋体" w:cs="宋体"/>
          <w:spacing w:val="-7"/>
          <w:sz w:val="24"/>
          <w:szCs w:val="24"/>
        </w:rPr>
      </w:pPr>
      <w:r>
        <w:rPr>
          <w:rFonts w:ascii="宋体" w:hAnsi="宋体" w:eastAsia="宋体" w:cs="宋体"/>
          <w:spacing w:val="-7"/>
          <w:sz w:val="24"/>
          <w:szCs w:val="24"/>
        </w:rPr>
        <w:t>2、将试件放置于坚实的平面上，在试件表面或选好的路面测试点放上标记环，用粉笔沿标记环内外画两同心圆，两同心圆间就是需要用密封材料进行密封的区域。</w:t>
      </w:r>
    </w:p>
    <w:p w14:paraId="31018F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6" w:line="480" w:lineRule="auto"/>
        <w:ind w:left="0" w:leftChars="0" w:right="-58" w:rightChars="-29" w:firstLine="0" w:firstLineChars="0"/>
        <w:textAlignment w:val="auto"/>
        <w:rPr>
          <w:rFonts w:ascii="宋体" w:hAnsi="宋体" w:eastAsia="宋体" w:cs="宋体"/>
          <w:spacing w:val="-7"/>
          <w:sz w:val="24"/>
          <w:szCs w:val="24"/>
        </w:rPr>
      </w:pPr>
      <w:r>
        <w:rPr>
          <w:rFonts w:ascii="宋体" w:hAnsi="宋体" w:eastAsia="宋体" w:cs="宋体"/>
          <w:spacing w:val="-7"/>
          <w:sz w:val="24"/>
          <w:szCs w:val="24"/>
        </w:rPr>
        <w:t>3、拿掉标记环，在同心圆内圈放上套环，沿套环的外圈向外在需要密封的区域内抹一薄层密封材料，边涂边压紧，使密封材料嵌满混合料试件表面或路面测试点的缝隙，且牢固地粘结在试件或测试路面上。如果密封材料不小心进入内圈，必须用刮刀将其刮走，以确保渗水面积保持不变。然后再将搓成拇指粗细的条状密封材料摞在环状密封区域的中央，并且摞成一圈。</w:t>
      </w:r>
    </w:p>
    <w:p w14:paraId="48014A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6" w:line="480" w:lineRule="auto"/>
        <w:ind w:left="0" w:leftChars="0" w:right="-58" w:rightChars="-29" w:firstLine="0" w:firstLineChars="0"/>
        <w:textAlignment w:val="auto"/>
        <w:rPr>
          <w:rFonts w:ascii="宋体" w:hAnsi="宋体" w:eastAsia="宋体" w:cs="宋体"/>
          <w:spacing w:val="-7"/>
          <w:sz w:val="24"/>
          <w:szCs w:val="24"/>
        </w:rPr>
      </w:pPr>
      <w:r>
        <w:rPr>
          <w:rFonts w:ascii="宋体" w:hAnsi="宋体" w:eastAsia="宋体" w:cs="宋体"/>
          <w:spacing w:val="-7"/>
          <w:sz w:val="24"/>
          <w:szCs w:val="24"/>
        </w:rPr>
        <w:t>4、将渗水仪放在套环上、对中并施加压力将渗水仪压在套环上，再将压重钢圈加在渗水仪底板上，以防压力水从底座与路面间流出。</w:t>
      </w:r>
    </w:p>
    <w:p w14:paraId="2DB680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6" w:line="480" w:lineRule="auto"/>
        <w:ind w:left="0" w:leftChars="0" w:right="-58" w:rightChars="-29" w:firstLine="0" w:firstLineChars="0"/>
        <w:textAlignment w:val="auto"/>
        <w:rPr>
          <w:rFonts w:ascii="宋体" w:hAnsi="宋体" w:eastAsia="宋体" w:cs="宋体"/>
          <w:spacing w:val="-7"/>
          <w:sz w:val="24"/>
          <w:szCs w:val="24"/>
        </w:rPr>
      </w:pPr>
      <w:r>
        <w:rPr>
          <w:rFonts w:ascii="宋体" w:hAnsi="宋体" w:eastAsia="宋体" w:cs="宋体"/>
          <w:spacing w:val="-7"/>
          <w:sz w:val="24"/>
          <w:szCs w:val="24"/>
        </w:rPr>
        <w:t>5、关闭渗水仪下方的放水阀和底座上的排气阀，向量筒内注入水桶中的红水至0刻度线。打开放水阀和排气阀，排出渗水仪内腔空气，当水自排气孔顺畅排出时，关闭放水阀和排气阀，并再次向量筒中注水至0刻度线。</w:t>
      </w:r>
    </w:p>
    <w:p w14:paraId="778218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6" w:line="480" w:lineRule="auto"/>
        <w:ind w:left="0" w:leftChars="0" w:right="-58" w:rightChars="-29" w:firstLine="0" w:firstLineChars="0"/>
        <w:textAlignment w:val="auto"/>
        <w:rPr>
          <w:rFonts w:ascii="宋体" w:hAnsi="宋体" w:eastAsia="宋体" w:cs="宋体"/>
          <w:spacing w:val="-7"/>
          <w:sz w:val="24"/>
          <w:szCs w:val="24"/>
        </w:rPr>
      </w:pPr>
      <w:r>
        <w:rPr>
          <w:rFonts w:ascii="宋体" w:hAnsi="宋体" w:eastAsia="宋体" w:cs="宋体"/>
          <w:spacing w:val="-7"/>
          <w:sz w:val="24"/>
          <w:szCs w:val="24"/>
        </w:rPr>
        <w:t>6、将开关打开，待水面下降至100mL刻度时，立即开动秒表开始计时，水面下降至500mL时，</w:t>
      </w:r>
    </w:p>
    <w:p w14:paraId="6DCF5B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6" w:line="480" w:lineRule="auto"/>
        <w:ind w:left="0" w:leftChars="0" w:right="-58" w:rightChars="-29" w:firstLine="0" w:firstLineChars="0"/>
        <w:textAlignment w:val="auto"/>
        <w:rPr>
          <w:rFonts w:ascii="宋体" w:hAnsi="宋体" w:eastAsia="宋体" w:cs="宋体"/>
          <w:spacing w:val="-7"/>
          <w:sz w:val="24"/>
          <w:szCs w:val="24"/>
        </w:rPr>
      </w:pPr>
      <w:r>
        <w:rPr>
          <w:rFonts w:ascii="宋体" w:hAnsi="宋体" w:eastAsia="宋体" w:cs="宋体"/>
          <w:spacing w:val="-7"/>
          <w:sz w:val="24"/>
          <w:szCs w:val="24"/>
        </w:rPr>
        <w:t>立即记录水面下降至500mL时的时间，结束试验。当计时达到3min时，水面无法下降至500mL刻度，则记录3min时间内渗水量即可结束试验。</w:t>
      </w:r>
    </w:p>
    <w:p w14:paraId="2637A6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6" w:line="480" w:lineRule="auto"/>
        <w:ind w:left="0" w:leftChars="0" w:right="-58" w:rightChars="-29" w:firstLine="0" w:firstLineChars="0"/>
        <w:textAlignment w:val="auto"/>
        <w:rPr>
          <w:rFonts w:ascii="宋体" w:hAnsi="宋体" w:eastAsia="宋体" w:cs="宋体"/>
          <w:spacing w:val="-7"/>
          <w:sz w:val="24"/>
          <w:szCs w:val="24"/>
        </w:rPr>
      </w:pPr>
      <w:r>
        <w:rPr>
          <w:rFonts w:ascii="宋体" w:hAnsi="宋体" w:eastAsia="宋体" w:cs="宋体"/>
          <w:spacing w:val="-7"/>
          <w:sz w:val="24"/>
          <w:szCs w:val="24"/>
        </w:rPr>
        <w:t>7、测试过程中，如水从底座与密封材料间渗出，则底座与路面间密封不好，此试验结果为无效。关闭开关，采用密封材料补充密封，重新按4~6测试。如果仍然有水渗出，应在同一纵向位置沿宽度方向就近选择位置，重新按照1～6测试。</w:t>
      </w:r>
    </w:p>
    <w:p w14:paraId="5F7B81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6" w:line="480" w:lineRule="auto"/>
        <w:ind w:left="0" w:leftChars="0" w:right="-58" w:rightChars="-29" w:firstLine="0" w:firstLineChars="0"/>
        <w:textAlignment w:val="auto"/>
        <w:rPr>
          <w:rFonts w:ascii="宋体" w:hAnsi="宋体" w:eastAsia="宋体" w:cs="宋体"/>
          <w:spacing w:val="-7"/>
          <w:sz w:val="24"/>
          <w:szCs w:val="24"/>
        </w:rPr>
      </w:pPr>
      <w:r>
        <w:rPr>
          <w:rFonts w:ascii="宋体" w:hAnsi="宋体" w:eastAsia="宋体" w:cs="宋体"/>
          <w:spacing w:val="-7"/>
          <w:sz w:val="24"/>
          <w:szCs w:val="24"/>
        </w:rPr>
        <w:t>8、测试过程中，如水从外环圈以外路面中渗出，可以人工将密封材料在外环圈之外5cm宽度范围内再次进行密封处理，重新按4～6测试，只要密封范围内无水渗出，则认为试验结果为有效。</w:t>
      </w:r>
    </w:p>
    <w:p w14:paraId="41F3D1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6" w:line="480" w:lineRule="auto"/>
        <w:ind w:left="0" w:leftChars="0" w:right="-58" w:rightChars="-29" w:firstLine="0" w:firstLineChars="0"/>
        <w:textAlignment w:val="auto"/>
        <w:rPr>
          <w:rFonts w:ascii="宋体" w:hAnsi="宋体" w:eastAsia="宋体" w:cs="宋体"/>
          <w:spacing w:val="-7"/>
          <w:sz w:val="24"/>
          <w:szCs w:val="24"/>
        </w:rPr>
      </w:pPr>
      <w:r>
        <w:rPr>
          <w:rFonts w:ascii="宋体" w:hAnsi="宋体" w:eastAsia="宋体" w:cs="宋体"/>
          <w:spacing w:val="-7"/>
          <w:sz w:val="24"/>
          <w:szCs w:val="24"/>
        </w:rPr>
        <w:t>9、重复1～8的步骤，测试3个测点或一种配合比制作的3块试件的渗水系数。</w:t>
      </w:r>
    </w:p>
    <w:p w14:paraId="59FB5A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6" w:line="480" w:lineRule="auto"/>
        <w:ind w:left="0" w:leftChars="0" w:right="-58" w:rightChars="-29" w:firstLine="0" w:firstLineChars="0"/>
        <w:textAlignment w:val="auto"/>
        <w:rPr>
          <w:rFonts w:ascii="宋体" w:hAnsi="宋体" w:eastAsia="宋体" w:cs="宋体"/>
          <w:spacing w:val="-7"/>
          <w:sz w:val="24"/>
          <w:szCs w:val="24"/>
        </w:rPr>
      </w:pPr>
      <w:r>
        <w:rPr>
          <w:rFonts w:ascii="宋体" w:hAnsi="宋体" w:eastAsia="宋体" w:cs="宋体"/>
          <w:spacing w:val="-7"/>
          <w:sz w:val="24"/>
          <w:szCs w:val="24"/>
        </w:rPr>
        <w:t>五、计算</w:t>
      </w:r>
    </w:p>
    <w:p w14:paraId="19CEC9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6" w:line="480" w:lineRule="auto"/>
        <w:ind w:left="0" w:leftChars="0" w:right="-58" w:rightChars="-29" w:firstLine="0" w:firstLineChars="0"/>
        <w:textAlignment w:val="auto"/>
        <w:rPr>
          <w:rFonts w:ascii="宋体" w:hAnsi="宋体" w:eastAsia="宋体" w:cs="宋体"/>
          <w:spacing w:val="-7"/>
          <w:sz w:val="24"/>
          <w:szCs w:val="24"/>
        </w:rPr>
      </w:pPr>
      <w:r>
        <w:rPr>
          <w:rFonts w:ascii="宋体" w:hAnsi="宋体" w:eastAsia="宋体" w:cs="宋体"/>
          <w:spacing w:val="-7"/>
          <w:sz w:val="24"/>
          <w:szCs w:val="24"/>
        </w:rPr>
        <w:t>1、沥青混合料试件的渗水系数按式(1)计算，准确至0.1mL/min。计算时以水面从100ml下降至500ml所需的时间为标准，若渗水时间过长，亦可采用3min通过的水量计算：</w:t>
      </w:r>
    </w:p>
    <w:p w14:paraId="2ADFC3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6" w:line="480" w:lineRule="auto"/>
        <w:ind w:left="0" w:leftChars="0" w:right="-58" w:rightChars="-29" w:firstLine="0" w:firstLineChars="0"/>
        <w:textAlignment w:val="auto"/>
        <w:rPr>
          <w:rFonts w:ascii="宋体" w:hAnsi="宋体" w:eastAsia="宋体" w:cs="宋体"/>
          <w:spacing w:val="-7"/>
          <w:sz w:val="24"/>
          <w:szCs w:val="24"/>
        </w:rPr>
      </w:pPr>
      <w:r>
        <w:rPr>
          <w:rFonts w:ascii="宋体" w:hAnsi="宋体" w:eastAsia="宋体" w:cs="宋体"/>
          <w:spacing w:val="-7"/>
          <w:sz w:val="24"/>
          <w:szCs w:val="24"/>
        </w:rPr>
        <w:drawing>
          <wp:anchor distT="0" distB="0" distL="0" distR="0" simplePos="0" relativeHeight="251661312" behindDoc="1" locked="0" layoutInCell="1" allowOverlap="1">
            <wp:simplePos x="0" y="0"/>
            <wp:positionH relativeFrom="column">
              <wp:posOffset>2125980</wp:posOffset>
            </wp:positionH>
            <wp:positionV relativeFrom="paragraph">
              <wp:posOffset>131445</wp:posOffset>
            </wp:positionV>
            <wp:extent cx="1104900" cy="552450"/>
            <wp:effectExtent l="0" t="0" r="7620" b="11430"/>
            <wp:wrapNone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04916" cy="5524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F3FA7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6" w:line="480" w:lineRule="auto"/>
        <w:ind w:left="0" w:leftChars="0" w:right="-58" w:rightChars="-29" w:firstLine="0" w:firstLineChars="0"/>
        <w:textAlignment w:val="auto"/>
        <w:rPr>
          <w:rFonts w:ascii="宋体" w:hAnsi="宋体" w:eastAsia="宋体" w:cs="宋体"/>
          <w:spacing w:val="-7"/>
          <w:sz w:val="24"/>
          <w:szCs w:val="24"/>
        </w:rPr>
      </w:pPr>
    </w:p>
    <w:p w14:paraId="6095A5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6" w:line="480" w:lineRule="auto"/>
        <w:ind w:left="0" w:leftChars="0" w:right="-58" w:rightChars="-29" w:firstLine="0" w:firstLineChars="0"/>
        <w:textAlignment w:val="auto"/>
        <w:rPr>
          <w:rFonts w:ascii="宋体" w:hAnsi="宋体" w:eastAsia="宋体" w:cs="宋体"/>
          <w:spacing w:val="-7"/>
          <w:sz w:val="24"/>
          <w:szCs w:val="24"/>
        </w:rPr>
      </w:pPr>
    </w:p>
    <w:p w14:paraId="641E05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6" w:line="480" w:lineRule="auto"/>
        <w:ind w:left="0" w:leftChars="0" w:right="-58" w:rightChars="-29" w:firstLine="0" w:firstLineChars="0"/>
        <w:textAlignment w:val="auto"/>
        <w:rPr>
          <w:rFonts w:ascii="宋体" w:hAnsi="宋体" w:eastAsia="宋体" w:cs="宋体"/>
          <w:spacing w:val="-7"/>
          <w:sz w:val="24"/>
          <w:szCs w:val="24"/>
        </w:rPr>
      </w:pPr>
      <w:r>
        <w:rPr>
          <w:rFonts w:ascii="宋体" w:hAnsi="宋体" w:eastAsia="宋体" w:cs="宋体"/>
          <w:spacing w:val="-7"/>
          <w:sz w:val="24"/>
          <w:szCs w:val="24"/>
        </w:rPr>
        <w:t>式中：C,——沥青混合料试件的渗水系数，ml/minV₁——第一次读数时的水量(ml)通常为100ml;</w:t>
      </w:r>
    </w:p>
    <w:p w14:paraId="41B08F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6" w:line="480" w:lineRule="auto"/>
        <w:ind w:left="0" w:leftChars="0" w:right="-58" w:rightChars="-29" w:firstLine="0" w:firstLineChars="0"/>
        <w:textAlignment w:val="auto"/>
        <w:rPr>
          <w:rFonts w:ascii="宋体" w:hAnsi="宋体" w:eastAsia="宋体" w:cs="宋体"/>
          <w:spacing w:val="-7"/>
          <w:sz w:val="24"/>
          <w:szCs w:val="24"/>
        </w:rPr>
      </w:pPr>
      <w:r>
        <w:rPr>
          <w:rFonts w:ascii="宋体" w:hAnsi="宋体" w:eastAsia="宋体" w:cs="宋体"/>
          <w:spacing w:val="-7"/>
          <w:sz w:val="24"/>
          <w:szCs w:val="24"/>
        </w:rPr>
        <w:t>V₂——第二次读数时的水量(ml)通常为500ml;t₁——第一次读数时的时间(S);</w:t>
      </w:r>
    </w:p>
    <w:p w14:paraId="56F2B7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6" w:line="480" w:lineRule="auto"/>
        <w:ind w:left="0" w:leftChars="0" w:right="-58" w:rightChars="-29" w:firstLine="0" w:firstLineChars="0"/>
        <w:textAlignment w:val="auto"/>
        <w:rPr>
          <w:rFonts w:ascii="宋体" w:hAnsi="宋体" w:eastAsia="宋体" w:cs="宋体"/>
          <w:spacing w:val="-7"/>
          <w:sz w:val="24"/>
          <w:szCs w:val="24"/>
        </w:rPr>
      </w:pPr>
      <w:r>
        <w:rPr>
          <w:rFonts w:ascii="宋体" w:hAnsi="宋体" w:eastAsia="宋体" w:cs="宋体"/>
          <w:spacing w:val="-7"/>
          <w:sz w:val="24"/>
          <w:szCs w:val="24"/>
        </w:rPr>
        <w:t>t₂——第二次读数时的时间(S);</w:t>
      </w:r>
    </w:p>
    <w:p w14:paraId="5117B8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6" w:line="480" w:lineRule="auto"/>
        <w:ind w:left="0" w:leftChars="0" w:right="-58" w:rightChars="-29" w:firstLine="0" w:firstLineChars="0"/>
        <w:textAlignment w:val="auto"/>
        <w:rPr>
          <w:rFonts w:ascii="宋体" w:hAnsi="宋体" w:eastAsia="宋体" w:cs="宋体"/>
          <w:spacing w:val="-7"/>
          <w:sz w:val="24"/>
          <w:szCs w:val="24"/>
        </w:rPr>
      </w:pPr>
      <w:r>
        <w:rPr>
          <w:rFonts w:ascii="宋体" w:hAnsi="宋体" w:eastAsia="宋体" w:cs="宋体"/>
          <w:spacing w:val="-7"/>
          <w:sz w:val="24"/>
          <w:szCs w:val="24"/>
        </w:rPr>
        <w:t>2、以3个测点渗水系数的平均值作为该测</w:t>
      </w:r>
    </w:p>
    <w:p w14:paraId="3F96DA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6" w:line="480" w:lineRule="auto"/>
        <w:ind w:left="0" w:leftChars="0" w:right="-58" w:rightChars="-29" w:firstLine="0" w:firstLineChars="0"/>
        <w:textAlignment w:val="auto"/>
        <w:rPr>
          <w:rFonts w:ascii="宋体" w:hAnsi="宋体" w:eastAsia="宋体" w:cs="宋体"/>
          <w:spacing w:val="-7"/>
          <w:sz w:val="24"/>
          <w:szCs w:val="24"/>
        </w:rPr>
      </w:pPr>
      <w:r>
        <w:rPr>
          <w:rFonts w:ascii="宋体" w:hAnsi="宋体" w:eastAsia="宋体" w:cs="宋体"/>
          <w:spacing w:val="-7"/>
          <w:sz w:val="24"/>
          <w:szCs w:val="24"/>
        </w:rPr>
        <w:t>试路段的结果，准确至1mL/min。室内试验则取一种配合比制作的3块试件的渗水系数平均值作为试验结果。</w:t>
      </w:r>
    </w:p>
    <w:p w14:paraId="2E0FCEDB">
      <w:pPr>
        <w:ind w:left="0" w:leftChars="0" w:firstLine="0" w:firstLineChars="0"/>
        <w:rPr>
          <w:rFonts w:hint="eastAsia"/>
          <w:lang w:val="en-US" w:eastAsia="zh-CN"/>
        </w:rPr>
      </w:pPr>
    </w:p>
    <w:sectPr>
      <w:headerReference r:id="rId5" w:type="default"/>
      <w:footerReference r:id="rId6" w:type="default"/>
      <w:pgSz w:w="11905" w:h="16838"/>
      <w:pgMar w:top="1429" w:right="1417" w:bottom="1549" w:left="1423" w:header="0" w:footer="998" w:gutter="0"/>
      <w:pgNumType w:fmt="decimal"/>
      <w:cols w:space="0" w:num="1"/>
      <w:rtlGutter w:val="0"/>
      <w:docGrid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00"/>
      </w:pPr>
      <w:r>
        <w:separator/>
      </w:r>
    </w:p>
  </w:endnote>
  <w:endnote w:type="continuationSeparator" w:id="1">
    <w:p>
      <w:pPr>
        <w:ind w:firstLine="4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4652F3">
    <w:pPr>
      <w:pStyle w:val="5"/>
      <w:jc w:val="right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5284470</wp:posOffset>
          </wp:positionH>
          <wp:positionV relativeFrom="paragraph">
            <wp:posOffset>-237490</wp:posOffset>
          </wp:positionV>
          <wp:extent cx="554990" cy="663575"/>
          <wp:effectExtent l="0" t="0" r="8890" b="6985"/>
          <wp:wrapNone/>
          <wp:docPr id="1" name="图片 1" descr="优选 微信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优选 微信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4990" cy="663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337310" cy="20764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37310" cy="2076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3F01576">
                          <w:pPr>
                            <w:pStyle w:val="5"/>
                            <w:rPr>
                              <w:spacing w:val="23"/>
                              <w:sz w:val="20"/>
                              <w:szCs w:val="28"/>
                            </w:rPr>
                          </w:pPr>
                          <w:r>
                            <w:rPr>
                              <w:spacing w:val="23"/>
                              <w:sz w:val="20"/>
                              <w:szCs w:val="28"/>
                            </w:rPr>
                            <w:t>第</w:t>
                          </w:r>
                          <w:r>
                            <w:rPr>
                              <w:spacing w:val="23"/>
                              <w:sz w:val="20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pacing w:val="23"/>
                              <w:sz w:val="20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pacing w:val="23"/>
                              <w:sz w:val="20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pacing w:val="23"/>
                              <w:sz w:val="20"/>
                              <w:szCs w:val="28"/>
                            </w:rPr>
                            <w:t>3</w:t>
                          </w:r>
                          <w:r>
                            <w:rPr>
                              <w:spacing w:val="23"/>
                              <w:sz w:val="20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pacing w:val="23"/>
                              <w:sz w:val="20"/>
                              <w:szCs w:val="28"/>
                            </w:rPr>
                            <w:t>页共</w:t>
                          </w:r>
                          <w:r>
                            <w:rPr>
                              <w:spacing w:val="23"/>
                              <w:sz w:val="20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pacing w:val="23"/>
                              <w:sz w:val="20"/>
                              <w:szCs w:val="28"/>
                            </w:rPr>
                            <w:instrText xml:space="preserve"> NUMPAGES  \* MERGEFORMAT </w:instrText>
                          </w:r>
                          <w:r>
                            <w:rPr>
                              <w:spacing w:val="23"/>
                              <w:sz w:val="20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pacing w:val="23"/>
                              <w:sz w:val="20"/>
                              <w:szCs w:val="28"/>
                            </w:rPr>
                            <w:t>4</w:t>
                          </w:r>
                          <w:r>
                            <w:rPr>
                              <w:spacing w:val="23"/>
                              <w:sz w:val="20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pacing w:val="23"/>
                              <w:sz w:val="20"/>
                              <w:szCs w:val="28"/>
                            </w:rP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6.35pt;width:105.3pt;mso-position-horizontal:center;mso-position-horizontal-relative:margin;z-index:251660288;mso-width-relative:page;mso-height-relative:page;" filled="f" stroked="f" coordsize="21600,21600" o:gfxdata="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BiHL460wAAAAQBAAAPAAAAAAAAAAEAIAAAACIAAABkcnMvZG93bnJldi54&#10;bWxQSwECFAAUAAAACACHTuJA36KQMDgCAABiBAAADgAAAAAAAAABACAAAAAiAQAAZHJzL2Uyb0Rv&#10;Yy54bWxQSwUGAAAAAAYABgBZAQAAzA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03F01576">
                    <w:pPr>
                      <w:pStyle w:val="5"/>
                      <w:rPr>
                        <w:spacing w:val="23"/>
                        <w:sz w:val="20"/>
                        <w:szCs w:val="28"/>
                      </w:rPr>
                    </w:pPr>
                    <w:r>
                      <w:rPr>
                        <w:spacing w:val="23"/>
                        <w:sz w:val="20"/>
                        <w:szCs w:val="28"/>
                      </w:rPr>
                      <w:t>第</w:t>
                    </w:r>
                    <w:r>
                      <w:rPr>
                        <w:spacing w:val="23"/>
                        <w:sz w:val="20"/>
                        <w:szCs w:val="28"/>
                      </w:rPr>
                      <w:fldChar w:fldCharType="begin"/>
                    </w:r>
                    <w:r>
                      <w:rPr>
                        <w:spacing w:val="23"/>
                        <w:sz w:val="20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pacing w:val="23"/>
                        <w:sz w:val="20"/>
                        <w:szCs w:val="28"/>
                      </w:rPr>
                      <w:fldChar w:fldCharType="separate"/>
                    </w:r>
                    <w:r>
                      <w:rPr>
                        <w:spacing w:val="23"/>
                        <w:sz w:val="20"/>
                        <w:szCs w:val="28"/>
                      </w:rPr>
                      <w:t>3</w:t>
                    </w:r>
                    <w:r>
                      <w:rPr>
                        <w:spacing w:val="23"/>
                        <w:sz w:val="20"/>
                        <w:szCs w:val="28"/>
                      </w:rPr>
                      <w:fldChar w:fldCharType="end"/>
                    </w:r>
                    <w:r>
                      <w:rPr>
                        <w:spacing w:val="23"/>
                        <w:sz w:val="20"/>
                        <w:szCs w:val="28"/>
                      </w:rPr>
                      <w:t>页共</w:t>
                    </w:r>
                    <w:r>
                      <w:rPr>
                        <w:spacing w:val="23"/>
                        <w:sz w:val="20"/>
                        <w:szCs w:val="28"/>
                      </w:rPr>
                      <w:fldChar w:fldCharType="begin"/>
                    </w:r>
                    <w:r>
                      <w:rPr>
                        <w:spacing w:val="23"/>
                        <w:sz w:val="20"/>
                        <w:szCs w:val="28"/>
                      </w:rPr>
                      <w:instrText xml:space="preserve"> NUMPAGES  \* MERGEFORMAT </w:instrText>
                    </w:r>
                    <w:r>
                      <w:rPr>
                        <w:spacing w:val="23"/>
                        <w:sz w:val="20"/>
                        <w:szCs w:val="28"/>
                      </w:rPr>
                      <w:fldChar w:fldCharType="separate"/>
                    </w:r>
                    <w:r>
                      <w:rPr>
                        <w:spacing w:val="23"/>
                        <w:sz w:val="20"/>
                        <w:szCs w:val="28"/>
                      </w:rPr>
                      <w:t>4</w:t>
                    </w:r>
                    <w:r>
                      <w:rPr>
                        <w:spacing w:val="23"/>
                        <w:sz w:val="20"/>
                        <w:szCs w:val="28"/>
                      </w:rPr>
                      <w:fldChar w:fldCharType="end"/>
                    </w:r>
                    <w:r>
                      <w:rPr>
                        <w:spacing w:val="23"/>
                        <w:sz w:val="20"/>
                        <w:szCs w:val="28"/>
                      </w:rPr>
                      <w:t>页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00"/>
      </w:pPr>
      <w:r>
        <w:separator/>
      </w:r>
    </w:p>
  </w:footnote>
  <w:footnote w:type="continuationSeparator" w:id="1">
    <w:p>
      <w:pPr>
        <w:ind w:firstLine="4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F88869">
    <w:pPr>
      <w:pStyle w:val="6"/>
    </w:pPr>
    <w:bookmarkStart w:id="0" w:name="_GoBack"/>
  </w:p>
  <w:bookmarkEnd w:id="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551213"/>
    <w:multiLevelType w:val="multilevel"/>
    <w:tmpl w:val="11551213"/>
    <w:lvl w:ilvl="0" w:tentative="0">
      <w:start w:val="1"/>
      <w:numFmt w:val="decimal"/>
      <w:pStyle w:val="17"/>
      <w:lvlText w:val="(%1)."/>
      <w:lvlJc w:val="left"/>
      <w:pPr>
        <w:ind w:left="440" w:hanging="440"/>
      </w:pPr>
      <w:rPr>
        <w:rFonts w:hint="eastAsia" w:ascii="宋体" w:hAnsi="宋体" w:eastAsia="宋体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5C323579"/>
    <w:multiLevelType w:val="multilevel"/>
    <w:tmpl w:val="5C323579"/>
    <w:lvl w:ilvl="0" w:tentative="0">
      <w:start w:val="1"/>
      <w:numFmt w:val="chineseCountingThousand"/>
      <w:pStyle w:val="2"/>
      <w:lvlText w:val="%1、"/>
      <w:lvlJc w:val="left"/>
      <w:pPr>
        <w:ind w:left="440" w:hanging="440"/>
      </w:p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2">
    <w:nsid w:val="5C910063"/>
    <w:multiLevelType w:val="multilevel"/>
    <w:tmpl w:val="5C910063"/>
    <w:lvl w:ilvl="0" w:tentative="0">
      <w:start w:val="1"/>
      <w:numFmt w:val="decimal"/>
      <w:pStyle w:val="3"/>
      <w:lvlText w:val="%1."/>
      <w:lvlJc w:val="left"/>
      <w:pPr>
        <w:ind w:left="440" w:hanging="440"/>
      </w:p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dit="readOnly" w:enforcement="1" w:cryptProviderType="rsaFull" w:cryptAlgorithmClass="hash" w:cryptAlgorithmType="typeAny" w:cryptAlgorithmSid="4" w:cryptSpinCount="0" w:hash="PBBpSBGF6l7FGySq8IoFM6KQQV8=" w:salt="l6NPoYPT5M3jrBCrFMZ1Iw==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5NmQwYmUwMjE3MDViY2FkYjE3ZjBiZmY3Mzk1YjUifQ=="/>
  </w:docVars>
  <w:rsids>
    <w:rsidRoot w:val="07DF2218"/>
    <w:rsid w:val="04477A12"/>
    <w:rsid w:val="05981A79"/>
    <w:rsid w:val="07B23486"/>
    <w:rsid w:val="07DF2218"/>
    <w:rsid w:val="099E1678"/>
    <w:rsid w:val="0D373AEB"/>
    <w:rsid w:val="204E06C8"/>
    <w:rsid w:val="22A223A2"/>
    <w:rsid w:val="2C8F76D7"/>
    <w:rsid w:val="2CB951EB"/>
    <w:rsid w:val="34F94A32"/>
    <w:rsid w:val="37A656DD"/>
    <w:rsid w:val="38646D95"/>
    <w:rsid w:val="39A465FC"/>
    <w:rsid w:val="3BBD6635"/>
    <w:rsid w:val="3EB968CD"/>
    <w:rsid w:val="4B7B794C"/>
    <w:rsid w:val="5128521C"/>
    <w:rsid w:val="514F680B"/>
    <w:rsid w:val="55CA3D04"/>
    <w:rsid w:val="567355E1"/>
    <w:rsid w:val="56B347E4"/>
    <w:rsid w:val="67C617E9"/>
    <w:rsid w:val="6A8C145E"/>
    <w:rsid w:val="73690E35"/>
    <w:rsid w:val="79A73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ind w:firstLine="21" w:firstLineChars="200"/>
    </w:pPr>
    <w:rPr>
      <w:rFonts w:ascii="Times New Roman" w:hAnsi="Times New Roman" w:eastAsia="宋体" w:cs="Times New Roman"/>
    </w:rPr>
  </w:style>
  <w:style w:type="paragraph" w:styleId="2">
    <w:name w:val="heading 1"/>
    <w:basedOn w:val="1"/>
    <w:next w:val="1"/>
    <w:qFormat/>
    <w:uiPriority w:val="9"/>
    <w:pPr>
      <w:keepNext/>
      <w:keepLines/>
      <w:numPr>
        <w:ilvl w:val="0"/>
        <w:numId w:val="1"/>
      </w:numPr>
      <w:spacing w:before="50" w:beforeLines="50" w:after="50" w:afterLines="50"/>
      <w:jc w:val="center"/>
      <w:outlineLvl w:val="0"/>
    </w:pPr>
    <w:rPr>
      <w:rFonts w:eastAsia="黑体"/>
      <w:b/>
      <w:bCs/>
      <w:kern w:val="44"/>
      <w:sz w:val="28"/>
      <w:szCs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numPr>
        <w:ilvl w:val="0"/>
        <w:numId w:val="2"/>
      </w:numPr>
      <w:suppressAutoHyphens/>
      <w:spacing w:before="50" w:beforeLines="50" w:after="50" w:afterLines="50"/>
      <w:outlineLvl w:val="1"/>
    </w:pPr>
    <w:rPr>
      <w:rFonts w:ascii="等线 Light" w:hAnsi="等线 Light"/>
      <w:b/>
      <w:bCs/>
      <w:sz w:val="24"/>
      <w:szCs w:val="32"/>
    </w:rPr>
  </w:style>
  <w:style w:type="character" w:default="1" w:styleId="11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toc 1"/>
    <w:basedOn w:val="1"/>
    <w:next w:val="1"/>
    <w:qFormat/>
    <w:uiPriority w:val="39"/>
  </w:style>
  <w:style w:type="paragraph" w:styleId="8">
    <w:name w:val="toc 2"/>
    <w:basedOn w:val="1"/>
    <w:next w:val="1"/>
    <w:qFormat/>
    <w:uiPriority w:val="39"/>
    <w:pPr>
      <w:ind w:left="420" w:leftChars="200"/>
    </w:pPr>
  </w:style>
  <w:style w:type="table" w:styleId="10">
    <w:name w:val="Table Grid"/>
    <w:basedOn w:val="9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autoRedefine/>
    <w:qFormat/>
    <w:uiPriority w:val="0"/>
    <w:rPr>
      <w:b/>
      <w:bCs/>
    </w:rPr>
  </w:style>
  <w:style w:type="character" w:styleId="13">
    <w:name w:val="page number"/>
    <w:basedOn w:val="11"/>
    <w:autoRedefine/>
    <w:qFormat/>
    <w:uiPriority w:val="0"/>
  </w:style>
  <w:style w:type="character" w:styleId="14">
    <w:name w:val="Emphasis"/>
    <w:basedOn w:val="11"/>
    <w:qFormat/>
    <w:uiPriority w:val="0"/>
    <w:rPr>
      <w:i/>
      <w:iCs/>
    </w:rPr>
  </w:style>
  <w:style w:type="character" w:styleId="15">
    <w:name w:val="Hyperlink"/>
    <w:unhideWhenUsed/>
    <w:qFormat/>
    <w:uiPriority w:val="99"/>
    <w:rPr>
      <w:color w:val="0563C1"/>
      <w:u w:val="single"/>
    </w:rPr>
  </w:style>
  <w:style w:type="paragraph" w:customStyle="1" w:styleId="16">
    <w:name w:val="TOC Heading"/>
    <w:basedOn w:val="2"/>
    <w:next w:val="1"/>
    <w:autoRedefine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="等线 Light" w:hAnsi="等线 Light" w:eastAsia="等线 Light"/>
      <w:b w:val="0"/>
      <w:bCs w:val="0"/>
      <w:color w:val="2F5496"/>
      <w:kern w:val="0"/>
      <w:sz w:val="32"/>
      <w:szCs w:val="32"/>
    </w:rPr>
  </w:style>
  <w:style w:type="paragraph" w:customStyle="1" w:styleId="17">
    <w:name w:val="标题3"/>
    <w:basedOn w:val="3"/>
    <w:autoRedefine/>
    <w:qFormat/>
    <w:uiPriority w:val="0"/>
    <w:pPr>
      <w:numPr>
        <w:numId w:val="3"/>
      </w:numPr>
      <w:jc w:val="left"/>
    </w:pPr>
    <w:rPr>
      <w:sz w:val="22"/>
    </w:rPr>
  </w:style>
  <w:style w:type="paragraph" w:styleId="18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19">
    <w:name w:val="WPS Plain"/>
    <w:qFormat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jpe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2024-03-16T01:50:00Z</dcterms:created>
  <dc:creator>小丽</dc:creator>
  <cp:lastModifiedBy>小丽</cp:lastModifiedBy>
  <dcterms:modified xsi:type="dcterms:W3CDTF">2024-11-27T10:54:16Z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5F2B4CC1CDE34AB993D41DC82EC2147F_13</vt:lpwstr>
  </property>
</Properties>
</file>